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273C47" w:rsidRPr="00FC0F69" w:rsidRDefault="00273C47" w:rsidP="00273C47">
      <w:pPr>
        <w:spacing w:after="0" w:line="240" w:lineRule="auto"/>
        <w:jc w:val="center"/>
        <w:rPr>
          <w:rFonts w:ascii="Arial" w:hAnsi="Arial" w:cs="Arial"/>
          <w:b/>
          <w:sz w:val="24"/>
          <w:szCs w:val="24"/>
        </w:rPr>
      </w:pPr>
      <w:r w:rsidRPr="00FC0F69">
        <w:rPr>
          <w:rFonts w:ascii="Arial" w:hAnsi="Arial" w:cs="Arial"/>
          <w:b/>
          <w:sz w:val="24"/>
          <w:szCs w:val="24"/>
        </w:rPr>
        <w:t>LICITACIÓN PÚBLICA LP-SC-006-2018</w:t>
      </w:r>
    </w:p>
    <w:p w:rsidR="00273C47" w:rsidRDefault="00273C47" w:rsidP="00273C47">
      <w:pPr>
        <w:spacing w:line="240" w:lineRule="auto"/>
        <w:jc w:val="center"/>
        <w:rPr>
          <w:rFonts w:ascii="Arial" w:hAnsi="Arial" w:cs="Arial"/>
          <w:b/>
          <w:sz w:val="24"/>
          <w:szCs w:val="24"/>
        </w:rPr>
      </w:pPr>
      <w:r w:rsidRPr="00FC0F69">
        <w:rPr>
          <w:rFonts w:ascii="Arial" w:hAnsi="Arial" w:cs="Arial"/>
          <w:b/>
          <w:sz w:val="24"/>
          <w:szCs w:val="24"/>
        </w:rPr>
        <w:t>“</w:t>
      </w:r>
      <w:r>
        <w:rPr>
          <w:rFonts w:ascii="Arial" w:hAnsi="Arial" w:cs="Arial"/>
          <w:b/>
          <w:sz w:val="24"/>
          <w:szCs w:val="24"/>
        </w:rPr>
        <w:t>Recarga de extintores, pruebas hidrostáticas y mantenimiento de hidrantes contra incendio</w:t>
      </w:r>
      <w:r w:rsidRPr="00FC0F69">
        <w:rPr>
          <w:rFonts w:ascii="Arial" w:hAnsi="Arial" w:cs="Arial"/>
          <w:b/>
          <w:sz w:val="24"/>
          <w:szCs w:val="24"/>
        </w:rPr>
        <w:t>”</w:t>
      </w:r>
    </w:p>
    <w:p w:rsidR="002C514A" w:rsidRDefault="002C514A" w:rsidP="002C514A">
      <w:pPr>
        <w:spacing w:after="0" w:line="240" w:lineRule="auto"/>
        <w:jc w:val="center"/>
        <w:rPr>
          <w:rFonts w:ascii="Arial" w:hAnsi="Arial" w:cs="Arial"/>
          <w:b/>
          <w:sz w:val="24"/>
          <w:szCs w:val="24"/>
        </w:rPr>
      </w:pPr>
    </w:p>
    <w:tbl>
      <w:tblPr>
        <w:tblStyle w:val="Tablaconcuadrcula"/>
        <w:tblpPr w:leftFromText="141" w:rightFromText="141" w:vertAnchor="page" w:horzAnchor="margin" w:tblpX="9" w:tblpY="2993"/>
        <w:tblW w:w="8828" w:type="dxa"/>
        <w:tblLook w:val="04A0" w:firstRow="1" w:lastRow="0" w:firstColumn="1" w:lastColumn="0" w:noHBand="0" w:noVBand="1"/>
      </w:tblPr>
      <w:tblGrid>
        <w:gridCol w:w="2263"/>
        <w:gridCol w:w="1062"/>
        <w:gridCol w:w="1037"/>
        <w:gridCol w:w="987"/>
        <w:gridCol w:w="1130"/>
        <w:gridCol w:w="1117"/>
        <w:gridCol w:w="1232"/>
      </w:tblGrid>
      <w:tr w:rsidR="00FE6303" w:rsidRPr="00FE6303" w:rsidTr="00FE6303">
        <w:trPr>
          <w:trHeight w:val="699"/>
        </w:trPr>
        <w:tc>
          <w:tcPr>
            <w:tcW w:w="2263"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Descripción</w:t>
            </w:r>
          </w:p>
        </w:tc>
        <w:tc>
          <w:tcPr>
            <w:tcW w:w="1062"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Unidad de medida</w:t>
            </w:r>
          </w:p>
        </w:tc>
        <w:tc>
          <w:tcPr>
            <w:tcW w:w="1037"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Cantidad</w:t>
            </w:r>
            <w:r w:rsidRPr="00FE6303">
              <w:rPr>
                <w:rFonts w:ascii="Arial" w:hAnsi="Arial" w:cs="Arial"/>
                <w:b/>
                <w:sz w:val="18"/>
                <w:szCs w:val="18"/>
              </w:rPr>
              <w:t xml:space="preserve"> requerida</w:t>
            </w:r>
          </w:p>
        </w:tc>
        <w:tc>
          <w:tcPr>
            <w:tcW w:w="987"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Cantidad cotizada</w:t>
            </w:r>
          </w:p>
        </w:tc>
        <w:tc>
          <w:tcPr>
            <w:tcW w:w="1130"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Precio unitario antes de impuestos</w:t>
            </w:r>
          </w:p>
        </w:tc>
        <w:tc>
          <w:tcPr>
            <w:tcW w:w="1117"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Impuestos</w:t>
            </w:r>
          </w:p>
        </w:tc>
        <w:tc>
          <w:tcPr>
            <w:tcW w:w="1232" w:type="dxa"/>
            <w:tcBorders>
              <w:bottom w:val="single" w:sz="4" w:space="0" w:color="auto"/>
            </w:tcBorders>
            <w:shd w:val="clear" w:color="auto" w:fill="BFBFBF" w:themeFill="background1" w:themeFillShade="BF"/>
            <w:vAlign w:val="center"/>
          </w:tcPr>
          <w:p w:rsidR="00840F97" w:rsidRPr="00FE6303" w:rsidRDefault="00840F97" w:rsidP="00FE6303">
            <w:pPr>
              <w:jc w:val="center"/>
              <w:rPr>
                <w:rFonts w:ascii="Arial" w:hAnsi="Arial" w:cs="Arial"/>
                <w:b/>
                <w:sz w:val="18"/>
                <w:szCs w:val="18"/>
              </w:rPr>
            </w:pPr>
            <w:r w:rsidRPr="00FE6303">
              <w:rPr>
                <w:rFonts w:ascii="Arial" w:hAnsi="Arial" w:cs="Arial"/>
                <w:b/>
                <w:sz w:val="18"/>
                <w:szCs w:val="18"/>
              </w:rPr>
              <w:t>Total con impuestos incluidos</w:t>
            </w:r>
          </w:p>
        </w:tc>
      </w:tr>
      <w:tr w:rsidR="00FE6303" w:rsidRPr="00FE6303" w:rsidTr="00FE6303">
        <w:trPr>
          <w:trHeight w:val="559"/>
        </w:trPr>
        <w:tc>
          <w:tcPr>
            <w:tcW w:w="2263" w:type="dxa"/>
            <w:tcBorders>
              <w:left w:val="single" w:sz="4" w:space="0" w:color="auto"/>
            </w:tcBorders>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Recarga y mantenimiento, extintores PQS ABC cap. 6,0 kg.</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Piezas</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54</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rPr>
          <w:trHeight w:val="264"/>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both"/>
              <w:rPr>
                <w:rFonts w:ascii="Arial" w:hAnsi="Arial" w:cs="Arial"/>
                <w:bCs/>
                <w:color w:val="000000"/>
                <w:sz w:val="18"/>
                <w:szCs w:val="18"/>
              </w:rPr>
            </w:pPr>
            <w:r w:rsidRPr="00FE6303">
              <w:rPr>
                <w:rFonts w:ascii="Arial" w:hAnsi="Arial" w:cs="Arial"/>
                <w:bCs/>
                <w:color w:val="000000"/>
                <w:sz w:val="18"/>
                <w:szCs w:val="18"/>
              </w:rPr>
              <w:t>Recarga y mantenimiento, extintor HFC-125-fa cap. 6.8 kg 15.0 ibs (Torre Audire).</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r w:rsidRPr="00FE6303">
              <w:rPr>
                <w:rFonts w:ascii="Arial" w:hAnsi="Arial" w:cs="Arial"/>
                <w:sz w:val="18"/>
                <w:szCs w:val="18"/>
              </w:rPr>
              <w:t>Piezas</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r w:rsidRPr="00FE6303">
              <w:rPr>
                <w:rFonts w:ascii="Arial" w:hAnsi="Arial" w:cs="Arial"/>
                <w:bCs/>
                <w:color w:val="000000"/>
                <w:sz w:val="18"/>
                <w:szCs w:val="18"/>
              </w:rPr>
              <w:t>17</w:t>
            </w:r>
          </w:p>
        </w:tc>
        <w:tc>
          <w:tcPr>
            <w:tcW w:w="987" w:type="dxa"/>
            <w:tcBorders>
              <w:top w:val="single" w:sz="4" w:space="0" w:color="auto"/>
              <w:left w:val="single" w:sz="4" w:space="0" w:color="auto"/>
              <w:bottom w:val="single" w:sz="4" w:space="0" w:color="auto"/>
              <w:right w:val="single" w:sz="4" w:space="0" w:color="auto"/>
            </w:tcBorders>
            <w:shd w:val="clear" w:color="000000" w:fill="FFFFFF"/>
          </w:tcPr>
          <w:p w:rsidR="00840F97" w:rsidRPr="00FE6303" w:rsidRDefault="00840F97" w:rsidP="00FE6303">
            <w:pPr>
              <w:jc w:val="center"/>
              <w:rPr>
                <w:rFonts w:ascii="Arial" w:hAnsi="Arial" w:cs="Arial"/>
                <w:bCs/>
                <w:color w:val="000000"/>
                <w:sz w:val="18"/>
                <w:szCs w:val="18"/>
              </w:rPr>
            </w:pP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p>
        </w:tc>
      </w:tr>
      <w:tr w:rsidR="00FE6303" w:rsidRPr="00FE6303" w:rsidTr="00FE6303">
        <w:trPr>
          <w:trHeight w:val="253"/>
        </w:trPr>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both"/>
              <w:rPr>
                <w:rFonts w:ascii="Arial" w:hAnsi="Arial" w:cs="Arial"/>
                <w:bCs/>
                <w:color w:val="000000"/>
                <w:sz w:val="18"/>
                <w:szCs w:val="18"/>
              </w:rPr>
            </w:pPr>
            <w:r w:rsidRPr="00FE6303">
              <w:rPr>
                <w:rFonts w:ascii="Arial" w:hAnsi="Arial" w:cs="Arial"/>
                <w:bCs/>
                <w:color w:val="000000"/>
                <w:sz w:val="18"/>
                <w:szCs w:val="18"/>
              </w:rPr>
              <w:t>Recarga y mantenimiento, extintor HFC-125 cap.88.0 kg (Torre Audire).</w:t>
            </w:r>
          </w:p>
        </w:tc>
        <w:tc>
          <w:tcPr>
            <w:tcW w:w="1062"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r w:rsidRPr="00FE6303">
              <w:rPr>
                <w:rFonts w:ascii="Arial" w:hAnsi="Arial" w:cs="Arial"/>
                <w:bCs/>
                <w:color w:val="000000"/>
                <w:sz w:val="18"/>
                <w:szCs w:val="18"/>
              </w:rPr>
              <w:t>Piezas</w:t>
            </w:r>
          </w:p>
        </w:tc>
        <w:tc>
          <w:tcPr>
            <w:tcW w:w="1037"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r w:rsidRPr="00FE6303">
              <w:rPr>
                <w:rFonts w:ascii="Arial" w:hAnsi="Arial" w:cs="Arial"/>
                <w:bCs/>
                <w:color w:val="000000"/>
                <w:sz w:val="18"/>
                <w:szCs w:val="18"/>
              </w:rPr>
              <w:t>1</w:t>
            </w:r>
          </w:p>
        </w:tc>
        <w:tc>
          <w:tcPr>
            <w:tcW w:w="987" w:type="dxa"/>
            <w:tcBorders>
              <w:top w:val="single" w:sz="4" w:space="0" w:color="auto"/>
              <w:left w:val="single" w:sz="4" w:space="0" w:color="auto"/>
              <w:bottom w:val="single" w:sz="4" w:space="0" w:color="auto"/>
              <w:right w:val="single" w:sz="4" w:space="0" w:color="auto"/>
            </w:tcBorders>
            <w:shd w:val="clear" w:color="000000" w:fill="FFFFFF"/>
          </w:tcPr>
          <w:p w:rsidR="00840F97" w:rsidRPr="00FE6303" w:rsidRDefault="00840F97" w:rsidP="00FE6303">
            <w:pPr>
              <w:jc w:val="center"/>
              <w:rPr>
                <w:rFonts w:ascii="Arial" w:hAnsi="Arial" w:cs="Arial"/>
                <w:bCs/>
                <w:color w:val="000000"/>
                <w:sz w:val="18"/>
                <w:szCs w:val="18"/>
              </w:rPr>
            </w:pPr>
          </w:p>
        </w:tc>
        <w:tc>
          <w:tcPr>
            <w:tcW w:w="1130"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p>
        </w:tc>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840F97" w:rsidRPr="00FE6303" w:rsidRDefault="00840F97" w:rsidP="00FE6303">
            <w:pPr>
              <w:jc w:val="center"/>
              <w:rPr>
                <w:rFonts w:ascii="Arial" w:hAnsi="Arial" w:cs="Arial"/>
                <w:bCs/>
                <w:color w:val="000000"/>
                <w:sz w:val="18"/>
                <w:szCs w:val="18"/>
              </w:rPr>
            </w:pPr>
          </w:p>
        </w:tc>
      </w:tr>
      <w:tr w:rsidR="00FE6303" w:rsidRPr="00FE6303" w:rsidTr="00FE6303">
        <w:trPr>
          <w:trHeight w:val="253"/>
        </w:trPr>
        <w:tc>
          <w:tcPr>
            <w:tcW w:w="2263" w:type="dxa"/>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Servicio prueba hidrostática baja presión a  extintores NOM-002 STPS-2010 INCISO VII (Torre Audire).</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Piezas</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55</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rPr>
          <w:trHeight w:val="253"/>
        </w:trPr>
        <w:tc>
          <w:tcPr>
            <w:tcW w:w="2263" w:type="dxa"/>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Servicio prueba hidrostática alta presión a extintores de Bióxido de carbono NOM-002 VII 3 (CO2) Torre Audire.</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Piezas</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17</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rPr>
          <w:trHeight w:val="253"/>
        </w:trPr>
        <w:tc>
          <w:tcPr>
            <w:tcW w:w="2263" w:type="dxa"/>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Servicio de mantenimiento anual hidrantes (revisión, limpieza, purgado de mangueras ejerciendo con el chiflón cerrado.</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15</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rPr>
          <w:trHeight w:val="264"/>
        </w:trPr>
        <w:tc>
          <w:tcPr>
            <w:tcW w:w="2263" w:type="dxa"/>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Recarga y mantenimiento extintores PQS ABC cap. 6.0KG parque vehicular.</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66</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rPr>
          <w:trHeight w:val="253"/>
        </w:trPr>
        <w:tc>
          <w:tcPr>
            <w:tcW w:w="2263" w:type="dxa"/>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Servicio prueba hidrostática baja presión a extintores NOM-002STPS-2010 inciso VII tabla VII parque V.</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13</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rPr>
          <w:trHeight w:val="253"/>
        </w:trPr>
        <w:tc>
          <w:tcPr>
            <w:tcW w:w="2263" w:type="dxa"/>
            <w:vAlign w:val="center"/>
          </w:tcPr>
          <w:p w:rsidR="00840F97" w:rsidRPr="00FE6303" w:rsidRDefault="00840F97" w:rsidP="00FE6303">
            <w:pPr>
              <w:jc w:val="both"/>
              <w:rPr>
                <w:rFonts w:ascii="Arial" w:hAnsi="Arial" w:cs="Arial"/>
                <w:sz w:val="18"/>
                <w:szCs w:val="18"/>
              </w:rPr>
            </w:pPr>
            <w:r w:rsidRPr="00FE6303">
              <w:rPr>
                <w:rFonts w:ascii="Arial" w:hAnsi="Arial" w:cs="Arial"/>
                <w:sz w:val="18"/>
                <w:szCs w:val="18"/>
              </w:rPr>
              <w:t>Recarga y mantenimiento extintores PQS ABC cap. 6.0kg salón de usos múltiples.</w:t>
            </w:r>
          </w:p>
        </w:tc>
        <w:tc>
          <w:tcPr>
            <w:tcW w:w="1062"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Pieza</w:t>
            </w:r>
          </w:p>
        </w:tc>
        <w:tc>
          <w:tcPr>
            <w:tcW w:w="1037" w:type="dxa"/>
            <w:vAlign w:val="center"/>
          </w:tcPr>
          <w:p w:rsidR="00840F97" w:rsidRPr="00FE6303" w:rsidRDefault="00840F97" w:rsidP="00FE6303">
            <w:pPr>
              <w:jc w:val="center"/>
              <w:rPr>
                <w:rFonts w:ascii="Arial" w:hAnsi="Arial" w:cs="Arial"/>
                <w:sz w:val="18"/>
                <w:szCs w:val="18"/>
              </w:rPr>
            </w:pPr>
            <w:r w:rsidRPr="00FE6303">
              <w:rPr>
                <w:rFonts w:ascii="Arial" w:hAnsi="Arial" w:cs="Arial"/>
                <w:sz w:val="18"/>
                <w:szCs w:val="18"/>
              </w:rPr>
              <w:t>7</w:t>
            </w:r>
          </w:p>
        </w:tc>
        <w:tc>
          <w:tcPr>
            <w:tcW w:w="987" w:type="dxa"/>
          </w:tcPr>
          <w:p w:rsidR="00840F97" w:rsidRPr="00FE6303" w:rsidRDefault="00840F97" w:rsidP="00FE6303">
            <w:pPr>
              <w:jc w:val="center"/>
              <w:rPr>
                <w:rFonts w:ascii="Arial" w:hAnsi="Arial" w:cs="Arial"/>
                <w:sz w:val="18"/>
                <w:szCs w:val="18"/>
              </w:rPr>
            </w:pPr>
          </w:p>
        </w:tc>
        <w:tc>
          <w:tcPr>
            <w:tcW w:w="1130" w:type="dxa"/>
            <w:vAlign w:val="center"/>
          </w:tcPr>
          <w:p w:rsidR="00840F97" w:rsidRPr="00FE6303" w:rsidRDefault="00840F97" w:rsidP="00FE6303">
            <w:pPr>
              <w:jc w:val="center"/>
              <w:rPr>
                <w:rFonts w:ascii="Arial" w:hAnsi="Arial" w:cs="Arial"/>
                <w:sz w:val="18"/>
                <w:szCs w:val="18"/>
              </w:rPr>
            </w:pPr>
          </w:p>
        </w:tc>
        <w:tc>
          <w:tcPr>
            <w:tcW w:w="1117" w:type="dxa"/>
            <w:vAlign w:val="center"/>
          </w:tcPr>
          <w:p w:rsidR="00840F97" w:rsidRPr="00FE6303" w:rsidRDefault="00840F97" w:rsidP="00FE6303">
            <w:pPr>
              <w:jc w:val="center"/>
              <w:rPr>
                <w:rFonts w:ascii="Arial" w:hAnsi="Arial" w:cs="Arial"/>
                <w:sz w:val="18"/>
                <w:szCs w:val="18"/>
              </w:rPr>
            </w:pPr>
          </w:p>
        </w:tc>
        <w:tc>
          <w:tcPr>
            <w:tcW w:w="1232" w:type="dxa"/>
            <w:vAlign w:val="center"/>
          </w:tcPr>
          <w:p w:rsidR="00840F97" w:rsidRPr="00FE6303" w:rsidRDefault="00840F97" w:rsidP="00FE6303">
            <w:pPr>
              <w:jc w:val="center"/>
              <w:rPr>
                <w:rFonts w:ascii="Arial" w:hAnsi="Arial" w:cs="Arial"/>
                <w:sz w:val="18"/>
                <w:szCs w:val="18"/>
              </w:rPr>
            </w:pPr>
          </w:p>
        </w:tc>
      </w:tr>
      <w:tr w:rsidR="00FE6303" w:rsidRPr="00FE6303" w:rsidTr="00FE6303">
        <w:tblPrEx>
          <w:tblCellMar>
            <w:left w:w="70" w:type="dxa"/>
            <w:right w:w="70" w:type="dxa"/>
          </w:tblCellMar>
          <w:tblLook w:val="0000" w:firstRow="0" w:lastRow="0" w:firstColumn="0" w:lastColumn="0" w:noHBand="0" w:noVBand="0"/>
        </w:tblPrEx>
        <w:trPr>
          <w:gridBefore w:val="3"/>
          <w:wBefore w:w="4362" w:type="dxa"/>
          <w:trHeight w:val="570"/>
        </w:trPr>
        <w:tc>
          <w:tcPr>
            <w:tcW w:w="2117" w:type="dxa"/>
            <w:gridSpan w:val="2"/>
          </w:tcPr>
          <w:p w:rsidR="00FE6303" w:rsidRPr="00FE6303" w:rsidRDefault="00FE6303" w:rsidP="00FE6303">
            <w:pPr>
              <w:jc w:val="center"/>
              <w:rPr>
                <w:rFonts w:ascii="Arial" w:hAnsi="Arial" w:cs="Arial"/>
                <w:b/>
                <w:sz w:val="18"/>
                <w:szCs w:val="18"/>
              </w:rPr>
            </w:pPr>
            <w:r w:rsidRPr="00FE6303">
              <w:rPr>
                <w:rFonts w:ascii="Arial" w:hAnsi="Arial" w:cs="Arial"/>
                <w:b/>
                <w:sz w:val="18"/>
                <w:szCs w:val="18"/>
              </w:rPr>
              <w:t>GRAN TOTAL con impuestos incluidos:</w:t>
            </w:r>
          </w:p>
        </w:tc>
        <w:tc>
          <w:tcPr>
            <w:tcW w:w="2349" w:type="dxa"/>
            <w:gridSpan w:val="2"/>
            <w:vAlign w:val="center"/>
          </w:tcPr>
          <w:p w:rsidR="00FE6303" w:rsidRPr="00FE6303" w:rsidRDefault="00FE6303" w:rsidP="00FE6303">
            <w:pPr>
              <w:jc w:val="center"/>
              <w:rPr>
                <w:rFonts w:ascii="Arial" w:hAnsi="Arial" w:cs="Arial"/>
                <w:b/>
                <w:sz w:val="18"/>
                <w:szCs w:val="18"/>
              </w:rPr>
            </w:pPr>
            <w:r w:rsidRPr="00FE6303">
              <w:rPr>
                <w:rFonts w:ascii="Arial" w:hAnsi="Arial" w:cs="Arial"/>
                <w:b/>
                <w:sz w:val="18"/>
                <w:szCs w:val="18"/>
              </w:rPr>
              <w:t>$</w:t>
            </w:r>
          </w:p>
        </w:tc>
      </w:tr>
    </w:tbl>
    <w:p w:rsidR="002C514A" w:rsidRDefault="002C514A" w:rsidP="00273C47">
      <w:pPr>
        <w:spacing w:after="0" w:line="240" w:lineRule="auto"/>
        <w:jc w:val="center"/>
        <w:rPr>
          <w:rFonts w:ascii="Arial" w:hAnsi="Arial" w:cs="Arial"/>
          <w:b/>
          <w:sz w:val="24"/>
          <w:szCs w:val="24"/>
        </w:rPr>
      </w:pPr>
    </w:p>
    <w:p w:rsidR="00273C47" w:rsidRDefault="00273C47" w:rsidP="00273C47">
      <w:pPr>
        <w:spacing w:after="0" w:line="240" w:lineRule="auto"/>
        <w:jc w:val="center"/>
        <w:rPr>
          <w:rFonts w:ascii="Arial" w:hAnsi="Arial" w:cs="Arial"/>
          <w:b/>
          <w:sz w:val="24"/>
          <w:szCs w:val="24"/>
        </w:rPr>
      </w:pPr>
    </w:p>
    <w:p w:rsidR="00273C47" w:rsidRPr="008D0649" w:rsidRDefault="00FE6303" w:rsidP="00273C47">
      <w:pPr>
        <w:pStyle w:val="Prrafodelista"/>
        <w:numPr>
          <w:ilvl w:val="0"/>
          <w:numId w:val="1"/>
        </w:numPr>
        <w:spacing w:after="0" w:line="240" w:lineRule="auto"/>
        <w:jc w:val="both"/>
        <w:rPr>
          <w:rFonts w:ascii="Arial" w:hAnsi="Arial" w:cs="Arial"/>
          <w:sz w:val="24"/>
          <w:szCs w:val="24"/>
        </w:rPr>
      </w:pPr>
      <w:bookmarkStart w:id="0" w:name="_GoBack"/>
      <w:bookmarkEnd w:id="0"/>
      <w:r>
        <w:rPr>
          <w:rFonts w:ascii="Arial" w:hAnsi="Arial" w:cs="Arial"/>
          <w:sz w:val="24"/>
          <w:szCs w:val="24"/>
        </w:rPr>
        <w:t xml:space="preserve">Gran Total </w:t>
      </w:r>
      <w:r>
        <w:rPr>
          <w:rFonts w:ascii="Arial" w:hAnsi="Arial" w:cs="Arial"/>
          <w:sz w:val="24"/>
          <w:szCs w:val="24"/>
        </w:rPr>
        <w:t>(</w:t>
      </w:r>
      <w:r w:rsidRPr="008D0649">
        <w:rPr>
          <w:rFonts w:ascii="Arial" w:hAnsi="Arial" w:cs="Arial"/>
          <w:sz w:val="24"/>
          <w:szCs w:val="24"/>
        </w:rPr>
        <w:t>con letra</w:t>
      </w:r>
      <w:r>
        <w:rPr>
          <w:rFonts w:ascii="Arial" w:hAnsi="Arial" w:cs="Arial"/>
          <w:sz w:val="24"/>
          <w:szCs w:val="24"/>
        </w:rPr>
        <w:t>)</w:t>
      </w:r>
      <w:r>
        <w:rPr>
          <w:rFonts w:ascii="Arial" w:hAnsi="Arial" w:cs="Arial"/>
          <w:sz w:val="24"/>
          <w:szCs w:val="24"/>
        </w:rPr>
        <w:t xml:space="preserve"> con impuestos incluidos</w:t>
      </w:r>
      <w:r w:rsidR="00273C47" w:rsidRPr="008D0649">
        <w:rPr>
          <w:rFonts w:ascii="Arial" w:hAnsi="Arial" w:cs="Arial"/>
          <w:sz w:val="24"/>
          <w:szCs w:val="24"/>
        </w:rPr>
        <w:t>: __________________________________________</w:t>
      </w:r>
      <w:r>
        <w:rPr>
          <w:rFonts w:ascii="Arial" w:hAnsi="Arial" w:cs="Arial"/>
          <w:sz w:val="24"/>
          <w:szCs w:val="24"/>
        </w:rPr>
        <w:t>_________________</w:t>
      </w:r>
      <w:r w:rsidR="00273C47" w:rsidRPr="008D0649">
        <w:rPr>
          <w:rFonts w:ascii="Arial" w:hAnsi="Arial" w:cs="Arial"/>
          <w:sz w:val="24"/>
          <w:szCs w:val="24"/>
        </w:rPr>
        <w:t>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Fecha de elaboración: DD/MM/2018.</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__________(mínimo 30 días naturales)________________________.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 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 ofrecidas.</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273C47" w:rsidRPr="008D0649" w:rsidRDefault="00273C47" w:rsidP="00273C47">
      <w:pPr>
        <w:spacing w:line="240" w:lineRule="auto"/>
        <w:jc w:val="center"/>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8D0649" w:rsidRDefault="00273C47" w:rsidP="00273C47">
      <w:pPr>
        <w:spacing w:after="0" w:line="240" w:lineRule="auto"/>
        <w:jc w:val="center"/>
        <w:rPr>
          <w:rFonts w:ascii="Arial" w:hAnsi="Arial" w:cs="Arial"/>
          <w:sz w:val="24"/>
          <w:szCs w:val="24"/>
        </w:rPr>
      </w:pPr>
    </w:p>
    <w:p w:rsidR="00273C47" w:rsidRPr="00FE6303" w:rsidRDefault="00273C47" w:rsidP="00FE6303">
      <w:pPr>
        <w:spacing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1D8" w:rsidRDefault="005471D8" w:rsidP="00C22F5D">
      <w:pPr>
        <w:spacing w:after="0" w:line="240" w:lineRule="auto"/>
      </w:pPr>
      <w:r>
        <w:separator/>
      </w:r>
    </w:p>
  </w:endnote>
  <w:endnote w:type="continuationSeparator" w:id="0">
    <w:p w:rsidR="005471D8" w:rsidRDefault="005471D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1D8" w:rsidRDefault="005471D8" w:rsidP="00C22F5D">
      <w:pPr>
        <w:spacing w:after="0" w:line="240" w:lineRule="auto"/>
      </w:pPr>
      <w:r>
        <w:separator/>
      </w:r>
    </w:p>
  </w:footnote>
  <w:footnote w:type="continuationSeparator" w:id="0">
    <w:p w:rsidR="005471D8" w:rsidRDefault="005471D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205B91"/>
    <w:rsid w:val="00273C47"/>
    <w:rsid w:val="002C514A"/>
    <w:rsid w:val="00491492"/>
    <w:rsid w:val="005471D8"/>
    <w:rsid w:val="0058667D"/>
    <w:rsid w:val="006120E7"/>
    <w:rsid w:val="006C17A8"/>
    <w:rsid w:val="00840F97"/>
    <w:rsid w:val="009244AE"/>
    <w:rsid w:val="009C0E58"/>
    <w:rsid w:val="009E45A4"/>
    <w:rsid w:val="00AA19B9"/>
    <w:rsid w:val="00AD4A39"/>
    <w:rsid w:val="00C0645A"/>
    <w:rsid w:val="00C22F5D"/>
    <w:rsid w:val="00CB2760"/>
    <w:rsid w:val="00D5318D"/>
    <w:rsid w:val="00DA6FC5"/>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3FAB"/>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cp:revision>
  <dcterms:created xsi:type="dcterms:W3CDTF">2018-08-08T17:13:00Z</dcterms:created>
  <dcterms:modified xsi:type="dcterms:W3CDTF">2018-08-08T17:13:00Z</dcterms:modified>
</cp:coreProperties>
</file>